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5 травня 2016 року                              № 256</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12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tl w:val="0"/>
        </w:rPr>
      </w:r>
      <w:r w:rsidDel="00000000" w:rsidR="00000000" w:rsidRPr="00000000">
        <mc:AlternateContent>
          <mc:Choice Requires="wpg">
            <w:drawing>
              <wp:anchor allowOverlap="1" behindDoc="0" distB="0" distT="0" distL="114935" distR="114935" hidden="0" layoutInCell="1" locked="0" relativeHeight="0" simplePos="0">
                <wp:simplePos x="0" y="0"/>
                <wp:positionH relativeFrom="column">
                  <wp:posOffset>114935</wp:posOffset>
                </wp:positionH>
                <wp:positionV relativeFrom="paragraph">
                  <wp:posOffset>215900</wp:posOffset>
                </wp:positionV>
                <wp:extent cx="2336800" cy="647700"/>
                <wp:effectExtent b="0" l="0" r="0" t="0"/>
                <wp:wrapSquare wrapText="bothSides" distB="0" distT="0" distL="114935" distR="114935"/>
                <wp:docPr id="1" name=""/>
                <a:graphic>
                  <a:graphicData uri="http://schemas.microsoft.com/office/word/2010/wordprocessingShape">
                    <wps:wsp>
                      <wps:cNvSpPr/>
                      <wps:cNvPr id="2" name="Shape 2"/>
                      <wps:spPr>
                        <a:xfrm>
                          <a:off x="4179188" y="3457738"/>
                          <a:ext cx="2333625" cy="644525"/>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1"/>
                                <w:i w:val="1"/>
                                <w:smallCaps w:val="0"/>
                                <w:strike w:val="0"/>
                                <w:color w:val="000000"/>
                                <w:sz w:val="20"/>
                                <w:vertAlign w:val="baseline"/>
                              </w:rPr>
                              <w:t xml:space="preserve">Про районну робочу групу</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r w:rsidDel="00000000" w:rsidR="00000000" w:rsidRPr="00000000">
                              <w:rPr>
                                <w:rFonts w:ascii="Times New Roman" w:cs="Times New Roman" w:eastAsia="Times New Roman" w:hAnsi="Times New Roman"/>
                                <w:b w:val="1"/>
                                <w:i w:val="1"/>
                                <w:smallCaps w:val="0"/>
                                <w:strike w:val="0"/>
                                <w:color w:val="000000"/>
                                <w:sz w:val="20"/>
                                <w:vertAlign w:val="baseline"/>
                              </w:rPr>
                              <w:t xml:space="preserve">з питань легалізації</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r w:rsidDel="00000000" w:rsidR="00000000" w:rsidRPr="00000000">
                              <w:rPr>
                                <w:rFonts w:ascii="Times New Roman" w:cs="Times New Roman" w:eastAsia="Times New Roman" w:hAnsi="Times New Roman"/>
                                <w:b w:val="1"/>
                                <w:i w:val="1"/>
                                <w:smallCaps w:val="0"/>
                                <w:strike w:val="0"/>
                                <w:color w:val="000000"/>
                                <w:sz w:val="20"/>
                                <w:vertAlign w:val="baseline"/>
                              </w:rPr>
                              <w:t xml:space="preserve">виплати заробітної плати та</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r w:rsidDel="00000000" w:rsidR="00000000" w:rsidRPr="00000000">
                              <w:rPr>
                                <w:rFonts w:ascii="Times New Roman" w:cs="Times New Roman" w:eastAsia="Times New Roman" w:hAnsi="Times New Roman"/>
                                <w:b w:val="1"/>
                                <w:i w:val="1"/>
                                <w:smallCaps w:val="0"/>
                                <w:strike w:val="0"/>
                                <w:color w:val="000000"/>
                                <w:sz w:val="20"/>
                                <w:vertAlign w:val="baseline"/>
                              </w:rPr>
                              <w:t xml:space="preserve">зайнятості населення</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p>
                        </w:txbxContent>
                      </wps:txbx>
                      <wps:bodyPr anchorCtr="0" anchor="ctr" bIns="91425" lIns="91425" spcFirstLastPara="1" rIns="91425" wrap="square" tIns="91425">
                        <a:noAutofit/>
                      </wps:bodyPr>
                    </wps:wsp>
                  </a:graphicData>
                </a:graphic>
              </wp:anchor>
            </w:drawing>
          </mc:Choice>
          <mc:Fallback>
            <w:drawing>
              <wp:anchor allowOverlap="1" behindDoc="0" distB="0" distT="0" distL="114935" distR="114935" hidden="0" layoutInCell="1" locked="0" relativeHeight="0" simplePos="0">
                <wp:simplePos x="0" y="0"/>
                <wp:positionH relativeFrom="column">
                  <wp:posOffset>114935</wp:posOffset>
                </wp:positionH>
                <wp:positionV relativeFrom="paragraph">
                  <wp:posOffset>215900</wp:posOffset>
                </wp:positionV>
                <wp:extent cx="2336800" cy="647700"/>
                <wp:effectExtent b="0" l="0" r="0" t="0"/>
                <wp:wrapSquare wrapText="bothSides" distB="0" distT="0" distL="114935" distR="114935"/>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336800" cy="647700"/>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120" w:before="0" w:line="240" w:lineRule="auto"/>
        <w:ind w:right="14"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120" w:before="0" w:line="240" w:lineRule="auto"/>
        <w:ind w:right="1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Відповідно до п.2) ч.1 ст.ст.16, 28 Закону України “Про місцеві державні адміністрації”, розпорядження голови Львівської обласної державної адміністрації від 26 квітня 2016 року №235/0/5-16 «Про обласну робочу групу з питань легалізації виплати заробітної плати та зайнятості населення»: </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862" w:hanging="360"/>
        <w:jc w:val="both"/>
        <w:rPr>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Затвердити склад районної робочої групи з питань легалізації виплати заробітної плати та зайнятості населення згідно з додатком 1.</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862" w:hanging="360"/>
        <w:jc w:val="both"/>
        <w:rPr>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Затвердити Положення про районну робочу групу з питань легалізації виплати заробітної плати та зайнятості населення згідно з додатком 2.</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862" w:hanging="360"/>
        <w:jc w:val="both"/>
        <w:rPr>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Визнати таким, що втратило чинність, розпорядження голови районної державної адміністрації від 3 вересня 2009 року № 617 «Про  створення робочої групи з питань легалізації виплати заробітної плати та зайнятості населення».</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862" w:hanging="360"/>
        <w:jc w:val="both"/>
        <w:rPr>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Контроль за виконанням розпорядження залишаю за собою.</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tabs>
          <w:tab w:val="left" w:pos="0"/>
        </w:tabs>
        <w:spacing w:after="0" w:before="0" w:line="240" w:lineRule="auto"/>
        <w:ind w:left="502"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В.Є.ГОВЕНКО</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ind w:left="5664"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ind w:left="5664"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ind w:left="5664"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ind w:left="5664"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ind w:left="5664"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ind w:left="5664"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ind w:left="5664"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ind w:firstLine="5657"/>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1</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ind w:firstLine="5657"/>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 районної</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ind w:firstLine="5657"/>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державної адміністрації</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ind w:firstLine="565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5 травня 2016 року</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ind w:firstLine="565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256</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 К Л А Д</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районної робочої групи з питань легалізації виплати заробітної плати та зайнятості населення</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bl>
      <w:tblPr>
        <w:tblStyle w:val="Table1"/>
        <w:tblW w:w="10207.0" w:type="dxa"/>
        <w:jc w:val="left"/>
        <w:tblInd w:w="-639.0" w:type="dxa"/>
        <w:tblLayout w:type="fixed"/>
        <w:tblLook w:val="0000"/>
      </w:tblPr>
      <w:tblGrid>
        <w:gridCol w:w="3829"/>
        <w:gridCol w:w="480"/>
        <w:gridCol w:w="86"/>
        <w:gridCol w:w="5812"/>
        <w:tblGridChange w:id="0">
          <w:tblGrid>
            <w:gridCol w:w="3829"/>
            <w:gridCol w:w="480"/>
            <w:gridCol w:w="86"/>
            <w:gridCol w:w="5812"/>
          </w:tblGrid>
        </w:tblGridChange>
      </w:tblGrid>
      <w:tr>
        <w:tc>
          <w:tcPr>
            <w:vAlign w:val="top"/>
          </w:tcPr>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ind w:left="680" w:right="995"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ГОВЕНКО</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ind w:left="680" w:right="995"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Володимир Євстафійович </w:t>
            </w:r>
          </w:p>
        </w:tc>
        <w:tc>
          <w:tcPr>
            <w:vAlign w:val="top"/>
          </w:tcPr>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top"/>
          </w:tcPr>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голова районної державної адміністрації, голова робочої групи;</w:t>
            </w:r>
          </w:p>
        </w:tc>
      </w:tr>
      <w:tr>
        <w:tc>
          <w:tcPr>
            <w:vAlign w:val="top"/>
          </w:tcPr>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ind w:left="159" w:right="993" w:firstLine="0"/>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top"/>
          </w:tcPr>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r>
      <w:tr>
        <w:tc>
          <w:tcPr>
            <w:vAlign w:val="top"/>
          </w:tcPr>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ind w:left="695"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ГОРОДЕЧНИЙ</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ind w:left="695"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Павло Михайлович</w:t>
            </w:r>
          </w:p>
        </w:tc>
        <w:tc>
          <w:tcPr>
            <w:vAlign w:val="top"/>
          </w:tcPr>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top"/>
          </w:tcPr>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перший заступник голови районної державної адміністрації, заступник голови робочої групи;</w:t>
            </w:r>
          </w:p>
        </w:tc>
      </w:tr>
      <w:tr>
        <w:tc>
          <w:tcPr>
            <w:vAlign w:val="top"/>
          </w:tcPr>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ind w:left="159" w:firstLine="0"/>
              <w:rPr>
                <w:rFonts w:ascii="Times New Roman" w:cs="Times New Roman" w:eastAsia="Times New Roman" w:hAnsi="Times New Roman"/>
                <w:b w:val="0"/>
                <w:color w:val="000000"/>
                <w:sz w:val="20"/>
                <w:szCs w:val="20"/>
                <w:highlight w:val="yellow"/>
                <w:vertAlign w:val="baseline"/>
              </w:rPr>
            </w:pPr>
            <w:r w:rsidDel="00000000" w:rsidR="00000000" w:rsidRPr="00000000">
              <w:rPr>
                <w:rtl w:val="0"/>
              </w:rPr>
            </w:r>
          </w:p>
        </w:tc>
        <w:tc>
          <w:tcPr>
            <w:vAlign w:val="top"/>
          </w:tcPr>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highlight w:val="yellow"/>
                <w:vertAlign w:val="baseline"/>
              </w:rPr>
            </w:pPr>
            <w:r w:rsidDel="00000000" w:rsidR="00000000" w:rsidRPr="00000000">
              <w:rPr>
                <w:rtl w:val="0"/>
              </w:rPr>
            </w:r>
          </w:p>
        </w:tc>
        <w:tc>
          <w:tcPr>
            <w:gridSpan w:val="2"/>
            <w:vAlign w:val="top"/>
          </w:tcPr>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highlight w:val="yellow"/>
                <w:vertAlign w:val="baseline"/>
              </w:rPr>
            </w:pPr>
            <w:r w:rsidDel="00000000" w:rsidR="00000000" w:rsidRPr="00000000">
              <w:rPr>
                <w:rtl w:val="0"/>
              </w:rPr>
            </w:r>
          </w:p>
        </w:tc>
      </w:tr>
      <w:tr>
        <w:tc>
          <w:tcPr>
            <w:vAlign w:val="top"/>
          </w:tcPr>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ind w:left="635"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МЕРЦАЛО</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ind w:left="635"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Світлана Іванівна</w:t>
            </w:r>
          </w:p>
        </w:tc>
        <w:tc>
          <w:tcPr>
            <w:vAlign w:val="top"/>
          </w:tcPr>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top"/>
          </w:tcPr>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начальник відділу праці та організаційно-кадрової роботи управління соціального захисту населення районної державної адміністрації, секретар робочої групи.</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r>
      <w:tr>
        <w:tc>
          <w:tcPr>
            <w:gridSpan w:val="4"/>
            <w:vAlign w:val="top"/>
          </w:tcPr>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Члени робочої групи :</w:t>
            </w:r>
            <w:r w:rsidDel="00000000" w:rsidR="00000000" w:rsidRPr="00000000">
              <w:rPr>
                <w:rtl w:val="0"/>
              </w:rPr>
            </w:r>
          </w:p>
        </w:tc>
      </w:tr>
      <w:tr>
        <w:tc>
          <w:tcPr>
            <w:vAlign w:val="top"/>
          </w:tcPr>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ind w:left="665"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СТЕПОВАНИЙ</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ind w:left="665"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Микола Володимирович</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ind w:left="15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ind w:left="620"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ЛОХМАНЮК </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ind w:left="620"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Олена Ігорівна</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ind w:left="15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ind w:left="650"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ЧУМАК</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ind w:left="650"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Степан  Миколайович</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ind w:left="665"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МИХАЙЛІВ </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ind w:left="665"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Любов Броніславівна</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ind w:left="635"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МИХАЛЮК </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ind w:left="635"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Роман Васильович</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ind w:left="15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0" w:before="0" w:line="240" w:lineRule="auto"/>
              <w:ind w:left="680"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БЕГЕН </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0" w:before="0" w:line="240" w:lineRule="auto"/>
              <w:ind w:left="680"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Марія Іванівна</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0" w:before="0" w:line="240" w:lineRule="auto"/>
              <w:ind w:left="159"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tc>
        <w:tc>
          <w:tcPr>
            <w:gridSpan w:val="2"/>
            <w:vAlign w:val="top"/>
          </w:tcPr>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начальник управління соціального захисту населення районної державної адміністрації;</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начальник відділу економічного розвитку, інфраструктури та торгівлі районної державної адміністрації;</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директор Пустомитівського районного центру зайнятості  (за згодою);</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заступник начальника Державної податкової інспекції у Пустомитівському районі (за згодою);</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перший заступник керівника Львівської місцевої прокуратури №3 (за згодою);</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начальник управління статистики у Пустомитівському районі (за згодою);</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r>
      <w:tr>
        <w:tc>
          <w:tcPr>
            <w:vAlign w:val="top"/>
          </w:tcPr>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0" w:before="0" w:line="240" w:lineRule="auto"/>
              <w:ind w:left="665"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ІЛЬО </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0" w:before="0" w:line="240" w:lineRule="auto"/>
              <w:ind w:left="665"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Орест Володимирович  </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0" w:before="0" w:line="240" w:lineRule="auto"/>
              <w:ind w:left="15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after="0" w:before="0" w:line="240" w:lineRule="auto"/>
              <w:ind w:left="15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spacing w:after="0" w:before="0" w:line="240" w:lineRule="auto"/>
              <w:ind w:left="15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spacing w:after="0" w:before="0" w:line="240" w:lineRule="auto"/>
              <w:ind w:left="650"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ПАЩУК</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spacing w:after="0" w:before="0" w:line="240" w:lineRule="auto"/>
              <w:ind w:left="650" w:right="-1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Тетяна Романівна                         </w:t>
            </w:r>
          </w:p>
        </w:tc>
        <w:tc>
          <w:tcPr>
            <w:gridSpan w:val="2"/>
            <w:vAlign w:val="top"/>
          </w:tcPr>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старший оперуповноважений Пустомитівського відділення поліції Франківського відділу ГУ Національної поліції у Львівській області (за згодою);</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головний державний інспектор Головного управління Держпраці у Львівській області (за згодою).</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r>
      <w:tr>
        <w:tc>
          <w:tcPr>
            <w:vAlign w:val="top"/>
          </w:tcPr>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spacing w:after="0" w:before="0" w:line="240" w:lineRule="auto"/>
              <w:ind w:left="159" w:firstLine="0"/>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top"/>
          </w:tcPr>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r>
    </w:tbl>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Ю.В. ЧЕТИРБУК</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spacing w:after="0" w:before="0" w:line="240" w:lineRule="auto"/>
        <w:ind w:firstLine="5657"/>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2</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spacing w:after="0" w:before="0" w:line="240" w:lineRule="auto"/>
        <w:ind w:firstLine="5657"/>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 районної</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spacing w:after="0" w:before="0" w:line="240" w:lineRule="auto"/>
        <w:ind w:firstLine="5657"/>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державної адміністрації</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spacing w:after="0" w:before="0" w:line="240" w:lineRule="auto"/>
        <w:ind w:firstLine="565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5 травня 2016 року</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spacing w:after="0" w:before="0" w:line="240" w:lineRule="auto"/>
        <w:ind w:firstLine="565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256</w:t>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ПОЛОЖЕННЯ</w:t>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 районну робочу групу з питань легалізації виплати заробітної плати </w:t>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та зайнятості населення </w:t>
      </w: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Районна робоча група з питань легалізації виплати заробітної плати та зайнятості населення</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(далі – Робоча група) є постійно діючим дорадчим органом, утвореним при районній державній адміністрації.</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Робоча група утворюється та ліквідується розпорядженням голови районної державної адміністрації.</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Робоча група у своїй діяльності керується Конституцією та законами України, актами Президента України та Кабінету Міністрів України  та іншими нормативними актами центральних органів виконавчої влади, розпорядженнями голови облдержадміністрації, а також цим Положенням.</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Основними завданнями діяльності Робочої групи є:</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сприяння діяльності органів виконавчої влади щодо забезпечення легалізації виплати заробітної плати та зайнятості населення;</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забезпечення підвищення рівня соціальної захищеності найманих працівників та відповідальності роботодавців за використання їх праці;</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запобігання проявам „тіньової” зайнятості;</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забезпечення взаємодії правоохоронних та контролюючих органів з метою вжиття заходів впливу до керівників підприємств, фізичних осіб-підприємців та самозайнятих осіб, які використовують найману працю з порушенням вимог чинного податкового та трудового законодавства;</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проведення інформаційної роботи серед населення в частині роз’яснення положень трудового законодавства;</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проведення роз’яснювальної роботи серед роботодавців щодо дотримання ними вимог чинного законодавства в частині використання найманої робочої сили та запобігання фактам неофіційних трудових відносин.</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Основними напрямками діяльності Робочої групи є:</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проведення інформаційної роботи серед населення в частині роз'яснення положень трудового законодавства;</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проведення роз'яснювальної роботи серед роботодавців щодо дотримання ними вимог чинного податкового та трудового законодавства в частині використання найманої робочої сили та запобігання фактам неофіційних трудових відносин;</w:t>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здійснення контролю за діяльністю підприємств, установ, організацій всіх форм власності та видів економічної діяльності, суб'єктів підприємницької діяльності, що зареєстровані та діють на території району;</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забезпечення взаємодії з організаціями роботодавців та профспілок, органами місцевого самоврядування, громадськими організаціями щодо формування громадської думки населення в частині негативного ставлення до праці без офіційного оформлення трудових відносин;</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заслуховування керівників</w:t>
      </w:r>
      <w:r w:rsidDel="00000000" w:rsidR="00000000" w:rsidRPr="00000000">
        <w:rPr>
          <w:rFonts w:ascii="Times New Roman" w:cs="Times New Roman" w:eastAsia="Times New Roman" w:hAnsi="Times New Roman"/>
          <w:b w:val="0"/>
          <w:i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підприємств, установ, організацій та суб’єктів підприємницької діяльності з питань дотримання вимог податкового та трудового законодавства.</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Робоча група має право:</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одержувати статистичну інформацію та інші дані від підприємств, організацій, установ, фізичних осіб-підприємців та самозайнятих осіб для забезпечення результативної діяльності;</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заслуховувати роботодавців щодо дотримання вимог чинного законодавства;</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аналізувати наявну інформацію, якою володіють органи Пенсійного фонду та Державної фіскальної служби, з метою встановлення обставин, які можуть свідчити про використання найманої праці без належного оформлення трудових відносин та/або виплати зарплати менше встановленого законодавством розміру;</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надавати пропозиції до центральних органів виконавчої влади щодо легалізації заробітної плати та зайнятості населення та ініціювати внесення змін до чинного законодавства України;</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на виконання рішень Робочої групи рекомендувати контролюючим органам здійснювати перевірки на підприємствах, установах, організаціях, у фізичних осіб-підприємців та самозайнятих осіб згідно вимог чинного законодавства;</w:t>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розміщувати інформацію про діяльність Робочої групи в засобах масової інформації.</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Робоча група зобов'язана діяти відповідно до вимог статті 43 Конституції України, Кодексу законів про працю України, Податкового кодексу України, Закону України «Про місцеві державні адміністрації», Закону України «Про захист персональних даних» та інших розпорядчих документів.</w:t>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 Організація діяльності Робочої групи:</w:t>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8.1. персональний склад Робочої групи та Положення про Робочу групу затверджується розпорядженням голови районної державної адміністрації;</w:t>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8.2. Робоча група утворюється у складі голови, заступника голови, секретаря та членів робочої групи;</w:t>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8.3. формою роботи Робочої групи є засідання, яке проводиться за рішенням голови Робочої групи, але не рідше одного разу на тиждень;</w:t>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8.4. засідання Робочої групи вважається правомірним, якщо на ньому присутні не менше як половина її членів. У разі відсутності члена Комісії з поважних причин (хвороба, відпустка тощо), передбачених Кодексом законів про працю України, відсутнього заступає особа, яка відповідно до наказу чи посадової інструкції виконує його обов’язки на правах члена робочої групи; </w:t>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8.5. організаційне, інформаційне, матеріально-технічне забезпечення діяльності Робочої групи здійснює управління соціального захисту населення районної державної адміністрації.</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 Рішення Робочої групи оформляється протоколом, який підписує голова Робочої групи, а у разі його відсутності з поважних причин – заступник голови. Рішення Робочої групи приймається простою більшістю голосів членів групи, присутніх на її засіданні. У разі рівного розподілу голосів вирішальним є голос голови Робочої групи.</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10. Контроль за виконанням рішення Робочої групи покладається на її членів відповідно до їх компетенції, узагальнення виконання пунктів рішення здійснює секретар робочої групи.</w:t>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Ю.В. ЧЕТИРБУК</w:t>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862" w:hanging="360"/>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